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50D0" w:rsidRDefault="00B34182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Maja Hasenohrl Božiković</w:t>
      </w: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:rsidR="00765D6D" w:rsidRDefault="00765D6D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OŠ HORVATI</w:t>
      </w: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765D6D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Zagreb, 2021.</w:t>
      </w: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765D6D" w:rsidRDefault="00765D6D" w:rsidP="00765D6D">
      <w:pPr>
        <w:spacing w:after="0" w:line="240" w:lineRule="auto"/>
        <w:ind w:left="-426"/>
        <w:rPr>
          <w:rFonts w:cstheme="minorHAnsi"/>
          <w:b/>
          <w:sz w:val="32"/>
        </w:rPr>
      </w:pPr>
    </w:p>
    <w:p w:rsidR="006D0648" w:rsidRPr="006D0648" w:rsidRDefault="00765D6D" w:rsidP="006D0648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Postotna skala z</w:t>
      </w:r>
      <w:r w:rsidR="006D0648" w:rsidRPr="006D0648">
        <w:rPr>
          <w:rFonts w:cstheme="minorHAnsi"/>
          <w:b/>
          <w:sz w:val="24"/>
        </w:rPr>
        <w:t xml:space="preserve">a ocjenjivanje pisanih provjera </w:t>
      </w:r>
    </w:p>
    <w:tbl>
      <w:tblPr>
        <w:tblStyle w:val="TableGrid"/>
        <w:tblW w:w="0" w:type="auto"/>
        <w:tblInd w:w="2689" w:type="dxa"/>
        <w:tblLook w:val="04A0"/>
      </w:tblPr>
      <w:tblGrid>
        <w:gridCol w:w="3969"/>
        <w:gridCol w:w="3969"/>
      </w:tblGrid>
      <w:tr w:rsidR="006D0648">
        <w:tc>
          <w:tcPr>
            <w:tcW w:w="3969" w:type="dxa"/>
            <w:shd w:val="clear" w:color="auto" w:fill="C5E0B3" w:themeFill="accent6" w:themeFillTint="66"/>
          </w:tcPr>
          <w:p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>
        <w:tc>
          <w:tcPr>
            <w:tcW w:w="3969" w:type="dxa"/>
          </w:tcPr>
          <w:p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>
        <w:tc>
          <w:tcPr>
            <w:tcW w:w="3969" w:type="dxa"/>
          </w:tcPr>
          <w:p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>
        <w:tc>
          <w:tcPr>
            <w:tcW w:w="3969" w:type="dxa"/>
          </w:tcPr>
          <w:p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6D0648" w:rsidRPr="00E401B9" w:rsidRDefault="006D0648" w:rsidP="006D0648">
      <w:pPr>
        <w:rPr>
          <w:rFonts w:cstheme="minorHAnsi"/>
          <w:sz w:val="24"/>
          <w:szCs w:val="24"/>
        </w:rPr>
      </w:pPr>
    </w:p>
    <w:p w:rsidR="006D0648" w:rsidRDefault="006D0648" w:rsidP="006D0648">
      <w:pPr>
        <w:rPr>
          <w:rFonts w:cstheme="minorHAnsi"/>
        </w:rPr>
      </w:pPr>
    </w:p>
    <w:p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  <w:bookmarkStart w:id="0" w:name="_GoBack"/>
      <w:bookmarkEnd w:id="0"/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3D632B" w:rsidRDefault="003D632B" w:rsidP="00614DA8">
      <w:pPr>
        <w:pStyle w:val="paragraph"/>
        <w:textAlignment w:val="baseline"/>
        <w:rPr>
          <w:rStyle w:val="eop"/>
        </w:rPr>
      </w:pPr>
    </w:p>
    <w:p w:rsidR="00614DA8" w:rsidRPr="00765D6D" w:rsidRDefault="00765D6D" w:rsidP="00614DA8">
      <w:pPr>
        <w:pStyle w:val="paragraph"/>
        <w:textAlignment w:val="baseline"/>
        <w:rPr>
          <w:rStyle w:val="eop"/>
        </w:rPr>
      </w:pPr>
      <w:r>
        <w:rPr>
          <w:rStyle w:val="eop"/>
          <w:rFonts w:asciiTheme="minorHAnsi" w:hAnsiTheme="minorHAnsi" w:cstheme="minorHAnsi"/>
          <w:b/>
          <w:sz w:val="28"/>
        </w:rPr>
        <w:t>Iz</w:t>
      </w:r>
      <w:r w:rsidR="003D632B" w:rsidRPr="00A721FF">
        <w:rPr>
          <w:rStyle w:val="eop"/>
          <w:rFonts w:asciiTheme="minorHAnsi" w:hAnsiTheme="minorHAnsi" w:cstheme="minorHAnsi"/>
          <w:b/>
          <w:sz w:val="28"/>
        </w:rPr>
        <w:t xml:space="preserve"> Kurikuluma za Hrvatski jezik.</w:t>
      </w:r>
    </w:p>
    <w:tbl>
      <w:tblPr>
        <w:tblStyle w:val="TableGrid1"/>
        <w:tblW w:w="15877" w:type="dxa"/>
        <w:tblInd w:w="-998" w:type="dxa"/>
        <w:tblLook w:val="0480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:rsidR="004F6448" w:rsidRPr="00823046" w:rsidRDefault="004F6448" w:rsidP="004F6448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4F6448" w:rsidRP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684F" w:rsidRDefault="0073684F" w:rsidP="004F6448">
            <w:pPr>
              <w:rPr>
                <w:rFonts w:cstheme="minorHAnsi"/>
                <w:sz w:val="24"/>
              </w:rPr>
            </w:pPr>
          </w:p>
          <w:p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pStyle w:val="ListParagraph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 i originalnost.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15877" w:type="dxa"/>
            <w:gridSpan w:val="10"/>
            <w:shd w:val="clear" w:color="auto" w:fill="C5E0B3" w:themeFill="accent6" w:themeFillTint="66"/>
          </w:tcPr>
          <w:p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6D0BC6" w:rsidRDefault="006D0BC6" w:rsidP="00445146">
      <w:pPr>
        <w:rPr>
          <w:rFonts w:cstheme="minorHAnsi"/>
        </w:rPr>
      </w:pPr>
    </w:p>
    <w:p w:rsidR="007D4196" w:rsidRDefault="007D4196" w:rsidP="00445146">
      <w:pPr>
        <w:rPr>
          <w:rFonts w:cstheme="minorHAnsi"/>
        </w:rPr>
      </w:pPr>
    </w:p>
    <w:p w:rsidR="008C23E6" w:rsidRDefault="008C23E6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97389E" w:rsidRDefault="0097389E" w:rsidP="00445146">
      <w:pPr>
        <w:rPr>
          <w:rFonts w:cstheme="minorHAnsi"/>
        </w:rPr>
      </w:pPr>
    </w:p>
    <w:p w:rsidR="00765D6D" w:rsidRDefault="00765D6D" w:rsidP="00445146">
      <w:pPr>
        <w:rPr>
          <w:rFonts w:cstheme="minorHAnsi"/>
        </w:rPr>
      </w:pPr>
    </w:p>
    <w:p w:rsidR="0097389E" w:rsidRDefault="0097389E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7329B7" w:rsidRPr="006414AD" w:rsidRDefault="007329B7" w:rsidP="00A61CF5">
      <w:pPr>
        <w:pStyle w:val="ListParagraph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7329B7" w:rsidRPr="006414AD" w:rsidRDefault="007329B7" w:rsidP="00A61CF5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7329B7" w:rsidRPr="006414AD" w:rsidRDefault="007329B7" w:rsidP="00A61CF5">
      <w:pPr>
        <w:pStyle w:val="ListParagraph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6414AD" w:rsidRDefault="006414AD" w:rsidP="006414AD">
      <w:pPr>
        <w:pStyle w:val="paragraph"/>
        <w:textAlignment w:val="baseline"/>
        <w:rPr>
          <w:rStyle w:val="eop"/>
        </w:rPr>
      </w:pPr>
    </w:p>
    <w:p w:rsidR="007329B7" w:rsidRPr="00765D6D" w:rsidRDefault="00765D6D" w:rsidP="00765D6D">
      <w:pPr>
        <w:pStyle w:val="paragraph"/>
        <w:textAlignment w:val="baseline"/>
        <w:rPr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 xml:space="preserve">Iz </w:t>
      </w:r>
      <w:r w:rsidR="006414AD" w:rsidRPr="006414AD">
        <w:rPr>
          <w:rStyle w:val="eop"/>
          <w:rFonts w:asciiTheme="minorHAnsi" w:hAnsiTheme="minorHAnsi" w:cstheme="minorHAnsi"/>
          <w:b/>
          <w:sz w:val="28"/>
        </w:rPr>
        <w:t>Kurikuluma za Likovnu kulturu.</w:t>
      </w:r>
    </w:p>
    <w:tbl>
      <w:tblPr>
        <w:tblStyle w:val="TableGrid1"/>
        <w:tblW w:w="16019" w:type="dxa"/>
        <w:tblInd w:w="-998" w:type="dxa"/>
        <w:tblLook w:val="0480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 likovni jezik tako da kreće od doživljaja cjeline prema detalju.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>
        <w:tc>
          <w:tcPr>
            <w:tcW w:w="16019" w:type="dxa"/>
            <w:gridSpan w:val="6"/>
            <w:shd w:val="clear" w:color="auto" w:fill="C5E0B3" w:themeFill="accent6" w:themeFillTint="66"/>
          </w:tcPr>
          <w:p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426538" w:rsidRPr="00BD6CF4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>
        <w:tc>
          <w:tcPr>
            <w:tcW w:w="16019" w:type="dxa"/>
            <w:gridSpan w:val="6"/>
            <w:shd w:val="clear" w:color="auto" w:fill="C5E0B3" w:themeFill="accent6" w:themeFillTint="66"/>
          </w:tcPr>
          <w:p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>
        <w:tc>
          <w:tcPr>
            <w:tcW w:w="16019" w:type="dxa"/>
            <w:gridSpan w:val="6"/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B47EF3" w:rsidRPr="00B4176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7329B7" w:rsidRDefault="007329B7" w:rsidP="007329B7">
      <w:pPr>
        <w:rPr>
          <w:rFonts w:cstheme="minorHAnsi"/>
          <w:sz w:val="24"/>
        </w:rPr>
      </w:pPr>
    </w:p>
    <w:p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>
        <w:tc>
          <w:tcPr>
            <w:tcW w:w="426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7329B7" w:rsidRDefault="007329B7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447980" w:rsidRDefault="00447980" w:rsidP="007329B7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765D6D" w:rsidRDefault="00765D6D" w:rsidP="00445146">
      <w:pPr>
        <w:rPr>
          <w:rFonts w:cstheme="minorHAnsi"/>
        </w:rPr>
      </w:pPr>
    </w:p>
    <w:p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7A4C51" w:rsidRPr="006D70D8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:rsidR="007A4C51" w:rsidRDefault="007A4C51" w:rsidP="00A61CF5">
      <w:pPr>
        <w:pStyle w:val="box459484"/>
        <w:numPr>
          <w:ilvl w:val="0"/>
          <w:numId w:val="10"/>
        </w:numPr>
        <w:rPr>
          <w:rStyle w:val="kurziv"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:rsidR="006D70D8" w:rsidRDefault="006D70D8" w:rsidP="006D70D8">
      <w:pPr>
        <w:pStyle w:val="paragraph"/>
        <w:ind w:left="720"/>
        <w:textAlignment w:val="baseline"/>
        <w:rPr>
          <w:rStyle w:val="eop"/>
        </w:rPr>
      </w:pPr>
    </w:p>
    <w:p w:rsidR="007A4C51" w:rsidRPr="00765D6D" w:rsidRDefault="00765D6D" w:rsidP="00765D6D">
      <w:pPr>
        <w:pStyle w:val="paragraph"/>
        <w:ind w:left="720"/>
        <w:textAlignment w:val="baseline"/>
        <w:rPr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Iz</w:t>
      </w:r>
      <w:r w:rsidR="006D70D8" w:rsidRPr="006414AD">
        <w:rPr>
          <w:rStyle w:val="eop"/>
          <w:rFonts w:asciiTheme="minorHAnsi" w:hAnsiTheme="minorHAnsi" w:cstheme="minorHAnsi"/>
          <w:b/>
          <w:sz w:val="28"/>
        </w:rPr>
        <w:t xml:space="preserve"> Kurikuluma za </w:t>
      </w:r>
      <w:r w:rsidR="006D70D8">
        <w:rPr>
          <w:rStyle w:val="eop"/>
          <w:rFonts w:asciiTheme="minorHAnsi" w:hAnsiTheme="minorHAnsi" w:cstheme="minorHAnsi"/>
          <w:b/>
          <w:sz w:val="28"/>
        </w:rPr>
        <w:t>Glazbenu</w:t>
      </w:r>
      <w:r>
        <w:rPr>
          <w:rStyle w:val="eop"/>
          <w:rFonts w:asciiTheme="minorHAnsi" w:hAnsiTheme="minorHAnsi" w:cstheme="minorHAnsi"/>
          <w:b/>
          <w:sz w:val="28"/>
        </w:rPr>
        <w:t xml:space="preserve"> kulturu</w:t>
      </w:r>
    </w:p>
    <w:tbl>
      <w:tblPr>
        <w:tblStyle w:val="TableGrid1"/>
        <w:tblW w:w="15735" w:type="dxa"/>
        <w:tblInd w:w="-714" w:type="dxa"/>
        <w:tblLook w:val="0480"/>
      </w:tblPr>
      <w:tblGrid>
        <w:gridCol w:w="3403"/>
        <w:gridCol w:w="3597"/>
        <w:gridCol w:w="4237"/>
        <w:gridCol w:w="4498"/>
      </w:tblGrid>
      <w:tr w:rsidR="007A4C51" w:rsidRPr="00B4176C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>
        <w:tc>
          <w:tcPr>
            <w:tcW w:w="15735" w:type="dxa"/>
            <w:gridSpan w:val="4"/>
            <w:shd w:val="clear" w:color="auto" w:fill="DEEAF6" w:themeFill="accent1" w:themeFillTint="33"/>
          </w:tcPr>
          <w:p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>
        <w:tc>
          <w:tcPr>
            <w:tcW w:w="15735" w:type="dxa"/>
            <w:gridSpan w:val="4"/>
            <w:shd w:val="clear" w:color="auto" w:fill="C5E0B3" w:themeFill="accent6" w:themeFillTint="66"/>
          </w:tcPr>
          <w:p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>
        <w:tc>
          <w:tcPr>
            <w:tcW w:w="42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683694" w:rsidRDefault="00683694" w:rsidP="00445146">
      <w:pPr>
        <w:rPr>
          <w:rFonts w:cstheme="minorHAnsi"/>
        </w:rPr>
      </w:pPr>
    </w:p>
    <w:p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6D70D8" w:rsidRPr="00765D6D" w:rsidRDefault="00765D6D" w:rsidP="00765D6D">
      <w:pPr>
        <w:spacing w:before="100" w:beforeAutospacing="1" w:after="100" w:afterAutospacing="1" w:line="240" w:lineRule="auto"/>
        <w:rPr>
          <w:rStyle w:val="eop"/>
        </w:rPr>
      </w:pPr>
      <w:r>
        <w:rPr>
          <w:rStyle w:val="eop"/>
          <w:rFonts w:cstheme="minorHAnsi"/>
          <w:b/>
          <w:sz w:val="28"/>
        </w:rPr>
        <w:t xml:space="preserve">Iz </w:t>
      </w:r>
      <w:r w:rsidR="00C441F8" w:rsidRPr="006414AD">
        <w:rPr>
          <w:rStyle w:val="eop"/>
          <w:rFonts w:cstheme="minorHAnsi"/>
          <w:b/>
          <w:sz w:val="28"/>
        </w:rPr>
        <w:t xml:space="preserve">Kurikuluma za </w:t>
      </w:r>
      <w:r w:rsidR="00C441F8">
        <w:rPr>
          <w:rStyle w:val="eop"/>
          <w:rFonts w:cstheme="minorHAnsi"/>
          <w:b/>
          <w:sz w:val="28"/>
        </w:rPr>
        <w:t>Matematiku</w:t>
      </w:r>
    </w:p>
    <w:tbl>
      <w:tblPr>
        <w:tblStyle w:val="TableGrid1"/>
        <w:tblW w:w="16019" w:type="dxa"/>
        <w:tblInd w:w="-998" w:type="dxa"/>
        <w:tblLook w:val="0480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right w:val="double" w:sz="12" w:space="0" w:color="auto"/>
            </w:tcBorders>
          </w:tcPr>
          <w:p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>
        <w:tc>
          <w:tcPr>
            <w:tcW w:w="16019" w:type="dxa"/>
            <w:gridSpan w:val="6"/>
            <w:shd w:val="clear" w:color="auto" w:fill="C5E0B3" w:themeFill="accent6" w:themeFillTint="66"/>
          </w:tcPr>
          <w:p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>
        <w:tc>
          <w:tcPr>
            <w:tcW w:w="16019" w:type="dxa"/>
            <w:gridSpan w:val="6"/>
            <w:shd w:val="clear" w:color="auto" w:fill="C5E0B3" w:themeFill="accent6" w:themeFillTint="66"/>
          </w:tcPr>
          <w:p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>
        <w:tc>
          <w:tcPr>
            <w:tcW w:w="16019" w:type="dxa"/>
            <w:gridSpan w:val="6"/>
            <w:shd w:val="clear" w:color="auto" w:fill="C5E0B3" w:themeFill="accent6" w:themeFillTint="66"/>
          </w:tcPr>
          <w:p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>
        <w:tblPrEx>
          <w:tblLook w:val="04A0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>
        <w:tblPrEx>
          <w:tblLook w:val="04A0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>
        <w:tc>
          <w:tcPr>
            <w:tcW w:w="16019" w:type="dxa"/>
            <w:gridSpan w:val="6"/>
            <w:shd w:val="clear" w:color="auto" w:fill="C5E0B3" w:themeFill="accent6" w:themeFillTint="66"/>
          </w:tcPr>
          <w:p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:rsidR="007D795C" w:rsidRDefault="007D795C" w:rsidP="00765D6D">
      <w:pPr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65D6D">
      <w:pPr>
        <w:rPr>
          <w:rFonts w:cstheme="minorHAnsi"/>
          <w:b/>
          <w:sz w:val="28"/>
        </w:rPr>
      </w:pPr>
    </w:p>
    <w:p w:rsidR="00765D6D" w:rsidRDefault="00765D6D" w:rsidP="00765D6D">
      <w:pPr>
        <w:rPr>
          <w:rFonts w:cstheme="minorHAnsi"/>
          <w:b/>
          <w:sz w:val="28"/>
        </w:rPr>
      </w:pPr>
    </w:p>
    <w:p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:rsidR="007D4196" w:rsidRDefault="007D4196" w:rsidP="007D4196">
      <w:pPr>
        <w:rPr>
          <w:rFonts w:cstheme="minorHAnsi"/>
          <w:b/>
          <w:sz w:val="24"/>
          <w:szCs w:val="24"/>
        </w:rPr>
      </w:pPr>
    </w:p>
    <w:p w:rsidR="00765D6D" w:rsidRDefault="00765D6D" w:rsidP="007D4196">
      <w:pPr>
        <w:rPr>
          <w:rFonts w:cstheme="minorHAnsi"/>
          <w:b/>
          <w:sz w:val="24"/>
          <w:szCs w:val="24"/>
        </w:rPr>
      </w:pPr>
    </w:p>
    <w:p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:rsidR="007D4196" w:rsidRDefault="007D4196" w:rsidP="007D4196">
      <w:pPr>
        <w:rPr>
          <w:rFonts w:cstheme="minorHAnsi"/>
          <w:b/>
          <w:sz w:val="24"/>
          <w:szCs w:val="24"/>
        </w:rPr>
      </w:pPr>
    </w:p>
    <w:p w:rsidR="00765D6D" w:rsidRPr="004C79C8" w:rsidRDefault="00765D6D" w:rsidP="007D4196">
      <w:pPr>
        <w:rPr>
          <w:rFonts w:cstheme="minorHAnsi"/>
          <w:b/>
          <w:sz w:val="24"/>
          <w:szCs w:val="24"/>
        </w:rPr>
      </w:pPr>
      <w:r>
        <w:rPr>
          <w:rStyle w:val="eop"/>
          <w:rFonts w:cstheme="minorHAnsi"/>
          <w:b/>
          <w:sz w:val="28"/>
        </w:rPr>
        <w:t>I</w:t>
      </w:r>
      <w:r w:rsidRPr="00204968">
        <w:rPr>
          <w:rStyle w:val="eop"/>
          <w:rFonts w:cstheme="minorHAnsi"/>
          <w:b/>
          <w:sz w:val="28"/>
        </w:rPr>
        <w:t xml:space="preserve">z Kurikuluma za </w:t>
      </w:r>
      <w:r w:rsidRPr="00204968">
        <w:rPr>
          <w:rFonts w:cstheme="minorHAnsi"/>
          <w:b/>
          <w:sz w:val="28"/>
        </w:rPr>
        <w:t>Prirodu i društvo</w:t>
      </w:r>
      <w:r w:rsidRPr="00204968">
        <w:rPr>
          <w:rStyle w:val="eop"/>
          <w:rFonts w:cstheme="minorHAnsi"/>
          <w:b/>
          <w:sz w:val="28"/>
        </w:rPr>
        <w:t>.</w:t>
      </w:r>
    </w:p>
    <w:tbl>
      <w:tblPr>
        <w:tblStyle w:val="TableGrid1"/>
        <w:tblW w:w="15528" w:type="dxa"/>
        <w:tblInd w:w="-998" w:type="dxa"/>
        <w:tblLook w:val="0480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381332" w:rsidRDefault="000246AD" w:rsidP="000246AD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ikt-a,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:rsidR="000246AD" w:rsidRPr="00381332" w:rsidRDefault="000246AD" w:rsidP="000246A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>
        <w:tc>
          <w:tcPr>
            <w:tcW w:w="15528" w:type="dxa"/>
            <w:gridSpan w:val="6"/>
            <w:shd w:val="clear" w:color="auto" w:fill="C5E0B3" w:themeFill="accent6" w:themeFillTint="66"/>
          </w:tcPr>
          <w:p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0D3E34" w:rsidRDefault="000246AD" w:rsidP="000246AD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:rsidR="000246AD" w:rsidRPr="000D3E34" w:rsidRDefault="000246AD" w:rsidP="000246AD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:rsidR="000246AD" w:rsidRPr="000D3E34" w:rsidRDefault="000246AD" w:rsidP="000246AD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:rsidR="000246AD" w:rsidRPr="000D3E34" w:rsidRDefault="000246AD" w:rsidP="000246AD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>
        <w:tc>
          <w:tcPr>
            <w:tcW w:w="15528" w:type="dxa"/>
            <w:gridSpan w:val="6"/>
            <w:shd w:val="clear" w:color="auto" w:fill="C5E0B3" w:themeFill="accent6" w:themeFillTint="66"/>
          </w:tcPr>
          <w:p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>
        <w:tblPrEx>
          <w:tblLook w:val="04A0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>
        <w:tc>
          <w:tcPr>
            <w:tcW w:w="15528" w:type="dxa"/>
            <w:gridSpan w:val="6"/>
            <w:shd w:val="clear" w:color="auto" w:fill="C5E0B3" w:themeFill="accent6" w:themeFillTint="66"/>
          </w:tcPr>
          <w:p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>
        <w:tblPrEx>
          <w:tblLook w:val="04A0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7F0028" w:rsidRDefault="000246AD" w:rsidP="000246AD">
            <w:pPr>
              <w:pStyle w:val="ListParagraph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9778EA" w:rsidRDefault="000246AD" w:rsidP="000246A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:rsidR="000246AD" w:rsidRPr="001B4033" w:rsidRDefault="000246AD" w:rsidP="000246AD">
            <w:pPr>
              <w:pStyle w:val="ListParagraph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:rsidR="000246AD" w:rsidRPr="001B4033" w:rsidRDefault="000246AD" w:rsidP="000246AD">
            <w:pPr>
              <w:pStyle w:val="ListParagraph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:rsidR="000246AD" w:rsidRPr="001B4033" w:rsidRDefault="000246AD" w:rsidP="000246AD">
            <w:pPr>
              <w:pStyle w:val="ListParagraph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:rsidR="000246AD" w:rsidRPr="001B4033" w:rsidRDefault="000246AD" w:rsidP="000246AD">
            <w:pPr>
              <w:pStyle w:val="ListParagraph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:rsidR="000246AD" w:rsidRPr="001B4033" w:rsidRDefault="000246AD" w:rsidP="000246AD">
            <w:pPr>
              <w:pStyle w:val="ListParagraph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:rsidR="000246AD" w:rsidRPr="001B4033" w:rsidRDefault="000246AD" w:rsidP="000246AD">
            <w:pPr>
              <w:pStyle w:val="ListParagraph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:rsidR="007D4196" w:rsidRDefault="007D4196" w:rsidP="007D4196">
      <w:pPr>
        <w:rPr>
          <w:rFonts w:cstheme="minorHAnsi"/>
          <w:sz w:val="24"/>
        </w:rPr>
      </w:pPr>
    </w:p>
    <w:p w:rsidR="007D4196" w:rsidRDefault="007D4196" w:rsidP="00445146">
      <w:pPr>
        <w:rPr>
          <w:rFonts w:cstheme="minorHAnsi"/>
        </w:rPr>
      </w:pPr>
    </w:p>
    <w:p w:rsidR="00204968" w:rsidRDefault="00204968" w:rsidP="00445146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E547F3" w:rsidRDefault="00E547F3" w:rsidP="00445146">
      <w:pPr>
        <w:rPr>
          <w:rFonts w:cstheme="minorHAnsi"/>
        </w:rPr>
      </w:pPr>
    </w:p>
    <w:p w:rsidR="00765D6D" w:rsidRDefault="00765D6D" w:rsidP="00445146">
      <w:pPr>
        <w:rPr>
          <w:rFonts w:cstheme="minorHAnsi"/>
        </w:rPr>
      </w:pPr>
    </w:p>
    <w:p w:rsidR="00E547F3" w:rsidRDefault="00E547F3" w:rsidP="00445146">
      <w:pPr>
        <w:rPr>
          <w:rFonts w:cstheme="minorHAnsi"/>
        </w:rPr>
      </w:pPr>
    </w:p>
    <w:p w:rsidR="00E547F3" w:rsidRDefault="00E547F3" w:rsidP="00445146">
      <w:pPr>
        <w:rPr>
          <w:rFonts w:cstheme="minorHAnsi"/>
        </w:rPr>
      </w:pPr>
    </w:p>
    <w:p w:rsidR="00B52EDE" w:rsidRDefault="00B52EDE" w:rsidP="00445146">
      <w:pPr>
        <w:rPr>
          <w:rFonts w:cstheme="minorHAnsi"/>
        </w:rPr>
      </w:pPr>
    </w:p>
    <w:p w:rsidR="00E547F3" w:rsidRDefault="00E547F3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786248" w:rsidRDefault="00786248" w:rsidP="00786248">
      <w:pPr>
        <w:jc w:val="center"/>
        <w:rPr>
          <w:rFonts w:cstheme="minorHAnsi"/>
          <w:b/>
          <w:sz w:val="28"/>
        </w:rPr>
      </w:pPr>
    </w:p>
    <w:p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65D6D" w:rsidRDefault="00765D6D" w:rsidP="00204968">
      <w:pPr>
        <w:pStyle w:val="paragraph"/>
        <w:textAlignment w:val="baseline"/>
        <w:rPr>
          <w:rStyle w:val="eop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5D6D" w:rsidRDefault="00765D6D" w:rsidP="00204968">
      <w:pPr>
        <w:pStyle w:val="paragraph"/>
        <w:textAlignment w:val="baseline"/>
        <w:rPr>
          <w:rStyle w:val="eop"/>
        </w:rPr>
      </w:pPr>
    </w:p>
    <w:p w:rsidR="00765D6D" w:rsidRDefault="00765D6D" w:rsidP="00204968">
      <w:pPr>
        <w:pStyle w:val="paragraph"/>
        <w:textAlignment w:val="baseline"/>
        <w:rPr>
          <w:rStyle w:val="eop"/>
        </w:rPr>
      </w:pPr>
    </w:p>
    <w:p w:rsidR="00765D6D" w:rsidRDefault="00765D6D" w:rsidP="00204968">
      <w:pPr>
        <w:pStyle w:val="paragraph"/>
        <w:textAlignment w:val="baseline"/>
        <w:rPr>
          <w:rStyle w:val="eop"/>
        </w:rPr>
      </w:pPr>
    </w:p>
    <w:p w:rsidR="00765D6D" w:rsidRDefault="00765D6D" w:rsidP="00204968">
      <w:pPr>
        <w:pStyle w:val="paragraph"/>
        <w:textAlignment w:val="baseline"/>
        <w:rPr>
          <w:rStyle w:val="eop"/>
        </w:rPr>
      </w:pPr>
    </w:p>
    <w:p w:rsidR="00786248" w:rsidRPr="00765D6D" w:rsidRDefault="00765D6D" w:rsidP="00765D6D">
      <w:pPr>
        <w:pStyle w:val="paragraph"/>
        <w:textAlignment w:val="baseline"/>
        <w:rPr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Iz</w:t>
      </w:r>
      <w:r w:rsidR="00204968" w:rsidRPr="00204968">
        <w:rPr>
          <w:rStyle w:val="eop"/>
          <w:rFonts w:asciiTheme="minorHAnsi" w:hAnsiTheme="minorHAnsi" w:cstheme="minorHAnsi"/>
          <w:b/>
          <w:sz w:val="28"/>
        </w:rPr>
        <w:t xml:space="preserve"> Kurikuluma za </w:t>
      </w:r>
      <w:r w:rsidR="00204968">
        <w:rPr>
          <w:rFonts w:asciiTheme="minorHAnsi" w:hAnsiTheme="minorHAnsi" w:cstheme="minorHAnsi"/>
          <w:b/>
          <w:sz w:val="28"/>
        </w:rPr>
        <w:t>Tjelesnu i zdravstvenu kulturu</w:t>
      </w:r>
      <w:r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5986" w:type="dxa"/>
        <w:tblInd w:w="-998" w:type="dxa"/>
        <w:tblLook w:val="0480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>
        <w:tc>
          <w:tcPr>
            <w:tcW w:w="2978" w:type="dxa"/>
            <w:tcBorders>
              <w:right w:val="double" w:sz="12" w:space="0" w:color="auto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:rsidR="00683694" w:rsidRDefault="00683694" w:rsidP="00445146">
      <w:pPr>
        <w:rPr>
          <w:rFonts w:cstheme="minorHAnsi"/>
          <w:b/>
          <w:sz w:val="24"/>
        </w:rPr>
      </w:pPr>
    </w:p>
    <w:p w:rsidR="00336E96" w:rsidRDefault="00336E96" w:rsidP="00445146">
      <w:pPr>
        <w:rPr>
          <w:rFonts w:cstheme="minorHAnsi"/>
          <w:b/>
          <w:sz w:val="24"/>
        </w:rPr>
      </w:pPr>
    </w:p>
    <w:p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B67B7" w:rsidRDefault="00CB67B7" w:rsidP="00394D17">
      <w:pPr>
        <w:spacing w:after="0" w:line="240" w:lineRule="auto"/>
      </w:pPr>
      <w:r>
        <w:separator/>
      </w:r>
    </w:p>
  </w:endnote>
  <w:endnote w:type="continuationSeparator" w:id="1">
    <w:p w:rsidR="00CB67B7" w:rsidRDefault="00CB67B7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B67B7" w:rsidRDefault="00CB67B7" w:rsidP="00394D17">
      <w:pPr>
        <w:spacing w:after="0" w:line="240" w:lineRule="auto"/>
      </w:pPr>
      <w:r>
        <w:separator/>
      </w:r>
    </w:p>
  </w:footnote>
  <w:footnote w:type="continuationSeparator" w:id="1">
    <w:p w:rsidR="00CB67B7" w:rsidRDefault="00CB67B7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65D6D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34182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B67B7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457CE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Segoe UI Emoj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17"/>
  </w:style>
  <w:style w:type="paragraph" w:styleId="Footer">
    <w:name w:val="footer"/>
    <w:basedOn w:val="Normal"/>
    <w:link w:val="Foot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17"/>
  </w:style>
  <w:style w:type="table" w:styleId="TableGrid">
    <w:name w:val="Table Grid"/>
    <w:basedOn w:val="TableNormal"/>
    <w:uiPriority w:val="39"/>
    <w:rsid w:val="0039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162E1"/>
  </w:style>
  <w:style w:type="character" w:customStyle="1" w:styleId="eop">
    <w:name w:val="eop"/>
    <w:basedOn w:val="DefaultParagraphFont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5535-5F71-442F-B3C1-B140B662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23242</Words>
  <Characters>132484</Characters>
  <Application>Microsoft Word 12.0.0</Application>
  <DocSecurity>0</DocSecurity>
  <Lines>1104</Lines>
  <Paragraphs>264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MAJA</cp:lastModifiedBy>
  <cp:revision>2</cp:revision>
  <cp:lastPrinted>2019-12-30T05:49:00Z</cp:lastPrinted>
  <dcterms:created xsi:type="dcterms:W3CDTF">2021-10-07T15:42:00Z</dcterms:created>
  <dcterms:modified xsi:type="dcterms:W3CDTF">2021-10-07T15:42:00Z</dcterms:modified>
</cp:coreProperties>
</file>